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D2" w:rsidRPr="000008D3" w:rsidRDefault="009A05D2" w:rsidP="009A05D2">
      <w:pPr>
        <w:rPr>
          <w:b/>
          <w:sz w:val="28"/>
          <w:szCs w:val="28"/>
        </w:rPr>
      </w:pPr>
      <w:r w:rsidRPr="002B1842">
        <w:rPr>
          <w:b/>
          <w:sz w:val="28"/>
          <w:szCs w:val="28"/>
        </w:rPr>
        <w:t xml:space="preserve">Programma </w:t>
      </w:r>
      <w:r>
        <w:rPr>
          <w:b/>
          <w:sz w:val="28"/>
          <w:szCs w:val="28"/>
        </w:rPr>
        <w:t xml:space="preserve">: </w:t>
      </w:r>
      <w:r>
        <w:rPr>
          <w:b/>
        </w:rPr>
        <w:t xml:space="preserve"> </w:t>
      </w:r>
      <w:r w:rsidRPr="000008D3">
        <w:rPr>
          <w:b/>
          <w:sz w:val="28"/>
          <w:szCs w:val="28"/>
        </w:rPr>
        <w:t>Veilig onder voorwaarden</w:t>
      </w:r>
    </w:p>
    <w:p w:rsidR="009A05D2" w:rsidRDefault="009A05D2" w:rsidP="009A05D2">
      <w:pPr>
        <w:rPr>
          <w:b/>
        </w:rPr>
      </w:pPr>
    </w:p>
    <w:p w:rsidR="009A05D2" w:rsidRDefault="009A05D2" w:rsidP="009A05D2">
      <w:pPr>
        <w:rPr>
          <w:b/>
        </w:rPr>
      </w:pPr>
      <w:r>
        <w:rPr>
          <w:b/>
        </w:rPr>
        <w:t xml:space="preserve">Datum:  </w:t>
      </w:r>
      <w:r w:rsidR="00AC3D73">
        <w:rPr>
          <w:b/>
        </w:rPr>
        <w:t>8 oktober</w:t>
      </w:r>
      <w:r>
        <w:rPr>
          <w:b/>
        </w:rPr>
        <w:t xml:space="preserve"> 2020 </w:t>
      </w:r>
    </w:p>
    <w:p w:rsidR="009A05D2" w:rsidRDefault="009A05D2" w:rsidP="009A05D2">
      <w:pPr>
        <w:rPr>
          <w:b/>
        </w:rPr>
      </w:pPr>
    </w:p>
    <w:p w:rsidR="009A05D2" w:rsidRDefault="009A05D2" w:rsidP="009A05D2">
      <w:pPr>
        <w:rPr>
          <w:b/>
        </w:rPr>
      </w:pPr>
      <w:r>
        <w:rPr>
          <w:b/>
        </w:rPr>
        <w:t>Locatie</w:t>
      </w:r>
      <w:r>
        <w:rPr>
          <w:b/>
        </w:rPr>
        <w:t xml:space="preserve">: </w:t>
      </w:r>
      <w:r w:rsidR="00AC3D73">
        <w:rPr>
          <w:b/>
        </w:rPr>
        <w:t>Den Haag</w:t>
      </w:r>
      <w:bookmarkStart w:id="0" w:name="_GoBack"/>
      <w:bookmarkEnd w:id="0"/>
      <w:r>
        <w:rPr>
          <w:b/>
        </w:rPr>
        <w:t xml:space="preserve"> </w:t>
      </w:r>
    </w:p>
    <w:p w:rsidR="009A05D2" w:rsidRDefault="009A05D2" w:rsidP="009A05D2">
      <w:pPr>
        <w:rPr>
          <w:b/>
        </w:rPr>
      </w:pPr>
    </w:p>
    <w:p w:rsidR="009A05D2" w:rsidRDefault="009A05D2" w:rsidP="009A05D2">
      <w:pPr>
        <w:rPr>
          <w:b/>
        </w:rPr>
      </w:pPr>
      <w:r>
        <w:rPr>
          <w:b/>
        </w:rPr>
        <w:t xml:space="preserve">Inhoud programma: </w:t>
      </w:r>
    </w:p>
    <w:p w:rsidR="009A05D2" w:rsidRDefault="009A05D2" w:rsidP="009A05D2">
      <w:pPr>
        <w:rPr>
          <w:b/>
        </w:rPr>
      </w:pPr>
    </w:p>
    <w:p w:rsidR="009A05D2" w:rsidRPr="0069129A" w:rsidRDefault="009A05D2" w:rsidP="009A05D2">
      <w:pPr>
        <w:rPr>
          <w:b/>
        </w:rPr>
      </w:pPr>
      <w:r w:rsidRPr="0069129A">
        <w:rPr>
          <w:b/>
        </w:rPr>
        <w:t>PJ-adviseurs wordt gevraagd te adviseren over het juridische kader voor de noodzakelijke interventies. Dat geldt zowel voor ‘opleggingsrapportages’ als voor ‘tenuitvoerleggingsrapportages’. De tbs, het meest dwingende kader, kent twee voorwaardelijke varianten: de tbs met voorwaarden en de voorwaardelijke beëindiging van het bevel tot verpleging. De afweging van deze varianten is niet eenvoudig. Doel is het aanreiken van een kader en criteria die kunnen helpen bij deze afweging.</w:t>
      </w:r>
    </w:p>
    <w:p w:rsidR="009A05D2" w:rsidRDefault="009A05D2" w:rsidP="009A05D2">
      <w:pPr>
        <w:rPr>
          <w:b/>
        </w:rPr>
      </w:pPr>
    </w:p>
    <w:p w:rsidR="009A05D2" w:rsidRPr="0069129A" w:rsidRDefault="009A05D2" w:rsidP="009A05D2">
      <w:pPr>
        <w:rPr>
          <w:b/>
        </w:rPr>
      </w:pPr>
      <w:r w:rsidRPr="0069129A">
        <w:rPr>
          <w:b/>
        </w:rPr>
        <w:t xml:space="preserve">Presentatie van het onderwerp: </w:t>
      </w:r>
    </w:p>
    <w:p w:rsidR="009A05D2" w:rsidRPr="0069129A" w:rsidRDefault="009A05D2" w:rsidP="009A05D2">
      <w:pPr>
        <w:rPr>
          <w:b/>
        </w:rPr>
      </w:pPr>
      <w:r w:rsidRPr="0069129A">
        <w:rPr>
          <w:b/>
        </w:rPr>
        <w:t xml:space="preserve">- de drie zones van de tbs, </w:t>
      </w:r>
    </w:p>
    <w:p w:rsidR="009A05D2" w:rsidRPr="0069129A" w:rsidRDefault="009A05D2" w:rsidP="009A05D2">
      <w:pPr>
        <w:rPr>
          <w:b/>
        </w:rPr>
      </w:pPr>
      <w:r w:rsidRPr="0069129A">
        <w:rPr>
          <w:b/>
        </w:rPr>
        <w:t>- de criteria voor oplegging,</w:t>
      </w:r>
    </w:p>
    <w:p w:rsidR="009A05D2" w:rsidRPr="0069129A" w:rsidRDefault="009A05D2" w:rsidP="009A05D2">
      <w:pPr>
        <w:rPr>
          <w:b/>
        </w:rPr>
      </w:pPr>
      <w:r w:rsidRPr="0069129A">
        <w:rPr>
          <w:b/>
        </w:rPr>
        <w:t>- kenmerken van de tbs met voorwaarden</w:t>
      </w:r>
    </w:p>
    <w:p w:rsidR="009A05D2" w:rsidRPr="0069129A" w:rsidRDefault="009A05D2" w:rsidP="009A05D2">
      <w:pPr>
        <w:rPr>
          <w:b/>
        </w:rPr>
      </w:pPr>
      <w:r w:rsidRPr="0069129A">
        <w:rPr>
          <w:b/>
        </w:rPr>
        <w:t>- kenmerken van de voorwaardelijke beëindiging</w:t>
      </w:r>
    </w:p>
    <w:p w:rsidR="009A05D2" w:rsidRPr="0069129A" w:rsidRDefault="009A05D2" w:rsidP="009A05D2">
      <w:pPr>
        <w:rPr>
          <w:b/>
        </w:rPr>
      </w:pPr>
      <w:r w:rsidRPr="0069129A">
        <w:rPr>
          <w:b/>
        </w:rPr>
        <w:t>- niet valide redeneringen en argumenten bij de advisering</w:t>
      </w:r>
    </w:p>
    <w:p w:rsidR="009A05D2" w:rsidRPr="0069129A" w:rsidRDefault="009A05D2" w:rsidP="009A05D2">
      <w:pPr>
        <w:rPr>
          <w:b/>
        </w:rPr>
      </w:pPr>
      <w:r w:rsidRPr="0069129A">
        <w:rPr>
          <w:b/>
        </w:rPr>
        <w:t>- het WODC-onderzoek 2017-5</w:t>
      </w:r>
    </w:p>
    <w:p w:rsidR="009A05D2" w:rsidRPr="0069129A" w:rsidRDefault="009A05D2" w:rsidP="009A05D2">
      <w:pPr>
        <w:rPr>
          <w:b/>
        </w:rPr>
      </w:pPr>
      <w:r w:rsidRPr="0069129A">
        <w:rPr>
          <w:b/>
        </w:rPr>
        <w:t>- het RNR-principe als professioneel referentiekader</w:t>
      </w:r>
    </w:p>
    <w:p w:rsidR="009A05D2" w:rsidRPr="0069129A" w:rsidRDefault="009A05D2" w:rsidP="009A05D2">
      <w:pPr>
        <w:rPr>
          <w:b/>
        </w:rPr>
      </w:pPr>
      <w:r w:rsidRPr="0069129A">
        <w:rPr>
          <w:b/>
        </w:rPr>
        <w:t>- checklists bij de afweging</w:t>
      </w:r>
    </w:p>
    <w:p w:rsidR="009A05D2" w:rsidRDefault="009A05D2" w:rsidP="009A05D2">
      <w:pPr>
        <w:rPr>
          <w:b/>
        </w:rPr>
      </w:pPr>
    </w:p>
    <w:p w:rsidR="009A05D2" w:rsidRDefault="009A05D2" w:rsidP="009A05D2">
      <w:pPr>
        <w:rPr>
          <w:b/>
        </w:rPr>
      </w:pPr>
      <w:r>
        <w:rPr>
          <w:b/>
        </w:rPr>
        <w:t>Werkvorm</w:t>
      </w:r>
    </w:p>
    <w:p w:rsidR="009A05D2" w:rsidRDefault="009A05D2" w:rsidP="009A05D2">
      <w:pPr>
        <w:rPr>
          <w:b/>
        </w:rPr>
      </w:pPr>
      <w:r w:rsidRPr="0069129A">
        <w:rPr>
          <w:b/>
        </w:rPr>
        <w:t>Casuïstiek en bespreking</w:t>
      </w:r>
    </w:p>
    <w:p w:rsidR="009A05D2" w:rsidRPr="00C10D58" w:rsidRDefault="009A05D2" w:rsidP="009A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850"/>
        <w:gridCol w:w="2435"/>
        <w:gridCol w:w="2196"/>
      </w:tblGrid>
      <w:tr w:rsidR="009A05D2" w:rsidRPr="00704F2D" w:rsidTr="004E041D">
        <w:trPr>
          <w:trHeight w:val="406"/>
        </w:trPr>
        <w:tc>
          <w:tcPr>
            <w:tcW w:w="2802" w:type="dxa"/>
            <w:shd w:val="clear" w:color="auto" w:fill="auto"/>
          </w:tcPr>
          <w:p w:rsidR="009A05D2" w:rsidRPr="00532444" w:rsidRDefault="009A05D2" w:rsidP="004E041D">
            <w:pPr>
              <w:rPr>
                <w:b/>
              </w:rPr>
            </w:pPr>
            <w:r w:rsidRPr="00532444">
              <w:rPr>
                <w:b/>
              </w:rPr>
              <w:t>activiteit</w:t>
            </w:r>
          </w:p>
        </w:tc>
        <w:tc>
          <w:tcPr>
            <w:tcW w:w="850" w:type="dxa"/>
            <w:shd w:val="clear" w:color="auto" w:fill="auto"/>
          </w:tcPr>
          <w:p w:rsidR="009A05D2" w:rsidRPr="00532444" w:rsidRDefault="009A05D2" w:rsidP="004E041D">
            <w:pPr>
              <w:rPr>
                <w:b/>
              </w:rPr>
            </w:pPr>
            <w:r w:rsidRPr="00532444">
              <w:rPr>
                <w:b/>
              </w:rPr>
              <w:t>tijd</w:t>
            </w:r>
          </w:p>
        </w:tc>
        <w:tc>
          <w:tcPr>
            <w:tcW w:w="2435" w:type="dxa"/>
            <w:shd w:val="clear" w:color="auto" w:fill="auto"/>
          </w:tcPr>
          <w:p w:rsidR="009A05D2" w:rsidRPr="00532444" w:rsidRDefault="009A05D2" w:rsidP="004E041D">
            <w:pPr>
              <w:rPr>
                <w:b/>
              </w:rPr>
            </w:pPr>
            <w:r w:rsidRPr="00532444">
              <w:rPr>
                <w:b/>
              </w:rPr>
              <w:t>Inhoud</w:t>
            </w:r>
          </w:p>
        </w:tc>
        <w:tc>
          <w:tcPr>
            <w:tcW w:w="2196" w:type="dxa"/>
            <w:shd w:val="clear" w:color="auto" w:fill="auto"/>
          </w:tcPr>
          <w:p w:rsidR="009A05D2" w:rsidRPr="00532444" w:rsidRDefault="009A05D2" w:rsidP="004E041D">
            <w:pPr>
              <w:rPr>
                <w:b/>
              </w:rPr>
            </w:pPr>
            <w:r w:rsidRPr="00532444">
              <w:rPr>
                <w:b/>
              </w:rPr>
              <w:t>Spreker/uitvoerder</w:t>
            </w:r>
          </w:p>
        </w:tc>
      </w:tr>
      <w:tr w:rsidR="009A05D2" w:rsidRPr="00704F2D" w:rsidTr="004E041D">
        <w:tc>
          <w:tcPr>
            <w:tcW w:w="2802" w:type="dxa"/>
            <w:shd w:val="clear" w:color="auto" w:fill="auto"/>
          </w:tcPr>
          <w:p w:rsidR="009A05D2" w:rsidRPr="00704F2D" w:rsidRDefault="009A05D2" w:rsidP="004E041D"/>
        </w:tc>
        <w:tc>
          <w:tcPr>
            <w:tcW w:w="850" w:type="dxa"/>
            <w:shd w:val="clear" w:color="auto" w:fill="auto"/>
          </w:tcPr>
          <w:p w:rsidR="009A05D2" w:rsidRPr="00704F2D" w:rsidRDefault="009A05D2" w:rsidP="004E041D"/>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c>
          <w:tcPr>
            <w:tcW w:w="2802" w:type="dxa"/>
            <w:shd w:val="clear" w:color="auto" w:fill="auto"/>
          </w:tcPr>
          <w:p w:rsidR="009A05D2" w:rsidRPr="00704F2D" w:rsidRDefault="009A05D2" w:rsidP="004E041D">
            <w:r>
              <w:t>O</w:t>
            </w:r>
            <w:r w:rsidRPr="00704F2D">
              <w:t>pening</w:t>
            </w:r>
          </w:p>
        </w:tc>
        <w:tc>
          <w:tcPr>
            <w:tcW w:w="850" w:type="dxa"/>
            <w:shd w:val="clear" w:color="auto" w:fill="auto"/>
          </w:tcPr>
          <w:p w:rsidR="009A05D2" w:rsidRPr="00704F2D" w:rsidRDefault="009A05D2" w:rsidP="004E041D">
            <w:r>
              <w:t>17.45</w:t>
            </w:r>
          </w:p>
        </w:tc>
        <w:tc>
          <w:tcPr>
            <w:tcW w:w="2435" w:type="dxa"/>
            <w:shd w:val="clear" w:color="auto" w:fill="auto"/>
          </w:tcPr>
          <w:p w:rsidR="009A05D2" w:rsidRPr="00704F2D" w:rsidRDefault="009A05D2" w:rsidP="004E041D">
            <w:r w:rsidRPr="00704F2D">
              <w:t>Welkom</w:t>
            </w:r>
            <w:r>
              <w:t xml:space="preserve"> </w:t>
            </w:r>
            <w:r w:rsidRPr="00704F2D">
              <w:t>en toelichting bijeenkomst</w:t>
            </w:r>
          </w:p>
        </w:tc>
        <w:tc>
          <w:tcPr>
            <w:tcW w:w="2196" w:type="dxa"/>
            <w:shd w:val="clear" w:color="auto" w:fill="auto"/>
          </w:tcPr>
          <w:p w:rsidR="009A05D2" w:rsidRPr="00704F2D" w:rsidRDefault="009A05D2" w:rsidP="004E041D">
            <w:r>
              <w:t>Hoofd dienst NIFP</w:t>
            </w:r>
          </w:p>
        </w:tc>
      </w:tr>
      <w:tr w:rsidR="009A05D2" w:rsidRPr="00704F2D" w:rsidTr="004E041D">
        <w:tc>
          <w:tcPr>
            <w:tcW w:w="2802" w:type="dxa"/>
            <w:shd w:val="clear" w:color="auto" w:fill="auto"/>
          </w:tcPr>
          <w:p w:rsidR="009A05D2" w:rsidRDefault="009A05D2" w:rsidP="004E041D">
            <w:r w:rsidRPr="00704F2D">
              <w:t>1</w:t>
            </w:r>
            <w:r w:rsidRPr="00532444">
              <w:rPr>
                <w:vertAlign w:val="superscript"/>
              </w:rPr>
              <w:t>e</w:t>
            </w:r>
            <w:r w:rsidRPr="00704F2D">
              <w:t xml:space="preserve"> </w:t>
            </w:r>
            <w:r>
              <w:t>programmaonderdeel</w:t>
            </w:r>
          </w:p>
          <w:p w:rsidR="009A05D2" w:rsidRPr="00704F2D" w:rsidRDefault="009A05D2" w:rsidP="004E041D"/>
        </w:tc>
        <w:tc>
          <w:tcPr>
            <w:tcW w:w="850" w:type="dxa"/>
            <w:shd w:val="clear" w:color="auto" w:fill="auto"/>
          </w:tcPr>
          <w:p w:rsidR="009A05D2" w:rsidRPr="00704F2D" w:rsidRDefault="009A05D2" w:rsidP="004E041D">
            <w:r>
              <w:t>18.00</w:t>
            </w:r>
          </w:p>
        </w:tc>
        <w:tc>
          <w:tcPr>
            <w:tcW w:w="2435" w:type="dxa"/>
            <w:shd w:val="clear" w:color="auto" w:fill="auto"/>
          </w:tcPr>
          <w:p w:rsidR="009A05D2" w:rsidRPr="00704F2D" w:rsidRDefault="009A05D2" w:rsidP="004E041D">
            <w:r>
              <w:t>Presentatie van het onderwerp toespitsend naar de probleemstelling</w:t>
            </w:r>
          </w:p>
        </w:tc>
        <w:tc>
          <w:tcPr>
            <w:tcW w:w="2196" w:type="dxa"/>
            <w:shd w:val="clear" w:color="auto" w:fill="auto"/>
          </w:tcPr>
          <w:p w:rsidR="009A05D2" w:rsidRPr="00704F2D" w:rsidRDefault="009A05D2" w:rsidP="004E041D">
            <w:r>
              <w:t>Wim van Kordelaar</w:t>
            </w:r>
          </w:p>
        </w:tc>
      </w:tr>
      <w:tr w:rsidR="009A05D2" w:rsidRPr="00704F2D" w:rsidTr="004E041D">
        <w:tc>
          <w:tcPr>
            <w:tcW w:w="2802" w:type="dxa"/>
            <w:shd w:val="clear" w:color="auto" w:fill="auto"/>
          </w:tcPr>
          <w:p w:rsidR="009A05D2" w:rsidRPr="00704F2D" w:rsidRDefault="009A05D2" w:rsidP="004E041D">
            <w:r w:rsidRPr="00704F2D">
              <w:t>Pauze voor koffie en thee</w:t>
            </w:r>
          </w:p>
        </w:tc>
        <w:tc>
          <w:tcPr>
            <w:tcW w:w="850" w:type="dxa"/>
            <w:shd w:val="clear" w:color="auto" w:fill="auto"/>
          </w:tcPr>
          <w:p w:rsidR="009A05D2" w:rsidRPr="00704F2D" w:rsidRDefault="009A05D2" w:rsidP="004E041D">
            <w:r>
              <w:t>19:10</w:t>
            </w:r>
          </w:p>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rPr>
          <w:trHeight w:val="1631"/>
        </w:trPr>
        <w:tc>
          <w:tcPr>
            <w:tcW w:w="2802" w:type="dxa"/>
            <w:shd w:val="clear" w:color="auto" w:fill="auto"/>
          </w:tcPr>
          <w:p w:rsidR="009A05D2" w:rsidRDefault="009A05D2" w:rsidP="004E041D"/>
          <w:p w:rsidR="009A05D2" w:rsidRDefault="009A05D2" w:rsidP="004E041D">
            <w:r w:rsidRPr="00704F2D">
              <w:t>2</w:t>
            </w:r>
            <w:r w:rsidRPr="00532444">
              <w:rPr>
                <w:vertAlign w:val="superscript"/>
              </w:rPr>
              <w:t>e</w:t>
            </w:r>
            <w:r w:rsidRPr="00704F2D">
              <w:t xml:space="preserve"> </w:t>
            </w:r>
            <w:r>
              <w:t>programmaonderdeel</w:t>
            </w:r>
          </w:p>
          <w:p w:rsidR="009A05D2" w:rsidRPr="00704F2D" w:rsidRDefault="009A05D2" w:rsidP="004E041D"/>
        </w:tc>
        <w:tc>
          <w:tcPr>
            <w:tcW w:w="850" w:type="dxa"/>
            <w:shd w:val="clear" w:color="auto" w:fill="auto"/>
          </w:tcPr>
          <w:p w:rsidR="009A05D2" w:rsidRPr="00704F2D" w:rsidRDefault="009A05D2" w:rsidP="004E041D">
            <w:r>
              <w:t>19:10</w:t>
            </w:r>
          </w:p>
        </w:tc>
        <w:tc>
          <w:tcPr>
            <w:tcW w:w="2435" w:type="dxa"/>
            <w:shd w:val="clear" w:color="auto" w:fill="auto"/>
          </w:tcPr>
          <w:p w:rsidR="009A05D2" w:rsidRPr="00704F2D" w:rsidRDefault="009A05D2" w:rsidP="004E041D">
            <w:r>
              <w:t xml:space="preserve">Uiteenzetting van en interactie over het Risk-Need-Responsivity principe als referentiekader voor de afweging en over de daaruit volgende </w:t>
            </w:r>
            <w:r>
              <w:lastRenderedPageBreak/>
              <w:t xml:space="preserve">checklists. </w:t>
            </w:r>
          </w:p>
        </w:tc>
        <w:tc>
          <w:tcPr>
            <w:tcW w:w="2196" w:type="dxa"/>
            <w:shd w:val="clear" w:color="auto" w:fill="auto"/>
          </w:tcPr>
          <w:p w:rsidR="009A05D2" w:rsidRPr="00704F2D" w:rsidRDefault="009A05D2" w:rsidP="004E041D">
            <w:r>
              <w:lastRenderedPageBreak/>
              <w:t>Wim van Kordelaar</w:t>
            </w:r>
          </w:p>
        </w:tc>
      </w:tr>
      <w:tr w:rsidR="009A05D2" w:rsidRPr="00704F2D" w:rsidTr="004E041D">
        <w:tc>
          <w:tcPr>
            <w:tcW w:w="2802" w:type="dxa"/>
            <w:shd w:val="clear" w:color="auto" w:fill="auto"/>
          </w:tcPr>
          <w:p w:rsidR="009A05D2" w:rsidRPr="00704F2D" w:rsidRDefault="009A05D2" w:rsidP="004E041D">
            <w:r>
              <w:lastRenderedPageBreak/>
              <w:t xml:space="preserve">Afsluiting </w:t>
            </w:r>
          </w:p>
        </w:tc>
        <w:tc>
          <w:tcPr>
            <w:tcW w:w="850" w:type="dxa"/>
            <w:shd w:val="clear" w:color="auto" w:fill="auto"/>
          </w:tcPr>
          <w:p w:rsidR="009A05D2" w:rsidRPr="00704F2D" w:rsidRDefault="009A05D2" w:rsidP="004E041D">
            <w:r>
              <w:t>20:10</w:t>
            </w:r>
          </w:p>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c>
          <w:tcPr>
            <w:tcW w:w="2802" w:type="dxa"/>
            <w:shd w:val="clear" w:color="auto" w:fill="auto"/>
          </w:tcPr>
          <w:p w:rsidR="009A05D2" w:rsidRPr="00704F2D" w:rsidRDefault="009A05D2" w:rsidP="004E041D"/>
        </w:tc>
        <w:tc>
          <w:tcPr>
            <w:tcW w:w="850" w:type="dxa"/>
            <w:shd w:val="clear" w:color="auto" w:fill="auto"/>
          </w:tcPr>
          <w:p w:rsidR="009A05D2" w:rsidRPr="00704F2D" w:rsidRDefault="009A05D2" w:rsidP="004E041D"/>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c>
          <w:tcPr>
            <w:tcW w:w="2802" w:type="dxa"/>
            <w:shd w:val="clear" w:color="auto" w:fill="auto"/>
          </w:tcPr>
          <w:p w:rsidR="009A05D2" w:rsidRPr="00704F2D" w:rsidRDefault="009A05D2" w:rsidP="004E041D"/>
        </w:tc>
        <w:tc>
          <w:tcPr>
            <w:tcW w:w="850" w:type="dxa"/>
            <w:shd w:val="clear" w:color="auto" w:fill="auto"/>
          </w:tcPr>
          <w:p w:rsidR="009A05D2" w:rsidRPr="00704F2D" w:rsidRDefault="009A05D2" w:rsidP="004E041D"/>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c>
          <w:tcPr>
            <w:tcW w:w="2802" w:type="dxa"/>
            <w:shd w:val="clear" w:color="auto" w:fill="auto"/>
          </w:tcPr>
          <w:p w:rsidR="009A05D2" w:rsidRPr="00704F2D" w:rsidRDefault="009A05D2" w:rsidP="004E041D"/>
        </w:tc>
        <w:tc>
          <w:tcPr>
            <w:tcW w:w="850" w:type="dxa"/>
            <w:shd w:val="clear" w:color="auto" w:fill="auto"/>
          </w:tcPr>
          <w:p w:rsidR="009A05D2" w:rsidRPr="00704F2D" w:rsidRDefault="009A05D2" w:rsidP="004E041D"/>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c>
          <w:tcPr>
            <w:tcW w:w="2802" w:type="dxa"/>
            <w:shd w:val="clear" w:color="auto" w:fill="auto"/>
          </w:tcPr>
          <w:p w:rsidR="009A05D2" w:rsidRPr="00704F2D" w:rsidRDefault="009A05D2" w:rsidP="004E041D"/>
        </w:tc>
        <w:tc>
          <w:tcPr>
            <w:tcW w:w="850" w:type="dxa"/>
            <w:shd w:val="clear" w:color="auto" w:fill="auto"/>
          </w:tcPr>
          <w:p w:rsidR="009A05D2" w:rsidRPr="00704F2D" w:rsidRDefault="009A05D2" w:rsidP="004E041D"/>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bl>
    <w:p w:rsidR="009A05D2" w:rsidRDefault="009A05D2" w:rsidP="009A05D2">
      <w:pPr>
        <w:rPr>
          <w:b/>
        </w:rPr>
      </w:pPr>
    </w:p>
    <w:p w:rsidR="009A05D2" w:rsidRDefault="009A05D2" w:rsidP="009A05D2">
      <w:pPr>
        <w:rPr>
          <w:b/>
        </w:rPr>
      </w:pPr>
      <w:r w:rsidRPr="00A00079">
        <w:rPr>
          <w:b/>
        </w:rPr>
        <w:t xml:space="preserve"> Literatuur:</w:t>
      </w:r>
    </w:p>
    <w:p w:rsidR="009A05D2" w:rsidRDefault="009A05D2" w:rsidP="009A05D2">
      <w:pPr>
        <w:numPr>
          <w:ilvl w:val="0"/>
          <w:numId w:val="1"/>
        </w:numPr>
        <w:rPr>
          <w:bCs/>
          <w:i/>
          <w:iCs/>
        </w:rPr>
      </w:pPr>
      <w:r>
        <w:rPr>
          <w:bCs/>
        </w:rPr>
        <w:t xml:space="preserve">W.F. van Kordelaar. Veilig onder voorwaarden. In: </w:t>
      </w:r>
      <w:r>
        <w:rPr>
          <w:bCs/>
          <w:i/>
          <w:iCs/>
        </w:rPr>
        <w:t>Sancties 2018/6 p. 265-280</w:t>
      </w:r>
    </w:p>
    <w:p w:rsidR="009A05D2" w:rsidRDefault="009A05D2" w:rsidP="009A05D2">
      <w:pPr>
        <w:numPr>
          <w:ilvl w:val="0"/>
          <w:numId w:val="1"/>
        </w:numPr>
        <w:rPr>
          <w:bCs/>
        </w:rPr>
      </w:pPr>
      <w:r>
        <w:rPr>
          <w:bCs/>
        </w:rPr>
        <w:t>c. Nagtegaal, C. Boonmann, J.J. Stuurman. Van voorwaardelijk naar onvoorwaardelijke terbeschikkinggesteld. Over omzettingen en hervattingen. WODC Cahier 2017-5</w:t>
      </w:r>
    </w:p>
    <w:p w:rsidR="00AC46BA" w:rsidRDefault="00AC46BA"/>
    <w:sectPr w:rsidR="00AC4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0354B"/>
    <w:multiLevelType w:val="hybridMultilevel"/>
    <w:tmpl w:val="54849CCC"/>
    <w:lvl w:ilvl="0" w:tplc="CA5846A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D2"/>
    <w:rsid w:val="009A05D2"/>
    <w:rsid w:val="00AC3D73"/>
    <w:rsid w:val="00AC4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5D2"/>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5D2"/>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9A68DAF6</Template>
  <TotalTime>0</TotalTime>
  <Pages>2</Pages>
  <Words>266</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 van de, Caroline</dc:creator>
  <cp:lastModifiedBy>Laar, van de, Caroline</cp:lastModifiedBy>
  <cp:revision>2</cp:revision>
  <dcterms:created xsi:type="dcterms:W3CDTF">2020-07-13T11:49:00Z</dcterms:created>
  <dcterms:modified xsi:type="dcterms:W3CDTF">2020-07-13T11:49:00Z</dcterms:modified>
</cp:coreProperties>
</file>